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1C" w:rsidRDefault="007A1A1C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27276" w:rsidRPr="007A1A1C" w:rsidRDefault="00E27276" w:rsidP="007A1A1C">
      <w:pPr>
        <w:pStyle w:val="HTML"/>
        <w:ind w:left="-567" w:firstLine="567"/>
        <w:jc w:val="left"/>
        <w:rPr>
          <w:rFonts w:ascii="Times New Roman" w:hAnsi="Times New Roman"/>
          <w:bCs/>
          <w:u w:val="single"/>
        </w:rPr>
      </w:pPr>
      <w:r w:rsidRPr="007A1A1C">
        <w:rPr>
          <w:rFonts w:ascii="Times New Roman" w:hAnsi="Times New Roman"/>
          <w:bCs/>
          <w:u w:val="single"/>
        </w:rPr>
        <w:t xml:space="preserve">155908 Ивановская область Шуйский муниципальный район деревня </w:t>
      </w:r>
      <w:proofErr w:type="spellStart"/>
      <w:r w:rsidRPr="007A1A1C">
        <w:rPr>
          <w:rFonts w:ascii="Times New Roman" w:hAnsi="Times New Roman"/>
          <w:bCs/>
          <w:u w:val="single"/>
        </w:rPr>
        <w:t>Остапово</w:t>
      </w:r>
      <w:proofErr w:type="spellEnd"/>
      <w:r w:rsidRPr="007A1A1C">
        <w:rPr>
          <w:rFonts w:ascii="Times New Roman" w:hAnsi="Times New Roman"/>
          <w:bCs/>
          <w:u w:val="single"/>
        </w:rPr>
        <w:t xml:space="preserve"> ул. Зеленая д.72 телефон 3-04-75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E27276" w:rsidRDefault="00E27276" w:rsidP="00E27276">
      <w:pPr>
        <w:pStyle w:val="HTML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547EC" w:rsidRDefault="008547EC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276" w:rsidRDefault="00E27276" w:rsidP="00E27276">
      <w:pPr>
        <w:pStyle w:val="HTML"/>
        <w:rPr>
          <w:rFonts w:ascii="Times New Roman" w:hAnsi="Times New Roman"/>
          <w:bCs/>
          <w:sz w:val="16"/>
          <w:szCs w:val="16"/>
        </w:rPr>
      </w:pPr>
    </w:p>
    <w:p w:rsidR="00E27276" w:rsidRDefault="008547EC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A1A1C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E27276">
        <w:rPr>
          <w:rFonts w:ascii="Times New Roman" w:hAnsi="Times New Roman"/>
          <w:b/>
          <w:bCs/>
          <w:sz w:val="28"/>
          <w:szCs w:val="28"/>
        </w:rPr>
        <w:t xml:space="preserve">«13» </w:t>
      </w:r>
      <w:r w:rsidR="007A1A1C">
        <w:rPr>
          <w:rFonts w:ascii="Times New Roman" w:hAnsi="Times New Roman"/>
          <w:b/>
          <w:bCs/>
          <w:sz w:val="28"/>
          <w:szCs w:val="28"/>
        </w:rPr>
        <w:t>ноября 2014года</w:t>
      </w:r>
      <w:r w:rsidR="00E27276">
        <w:rPr>
          <w:rFonts w:ascii="Times New Roman" w:hAnsi="Times New Roman"/>
          <w:b/>
          <w:bCs/>
          <w:sz w:val="28"/>
          <w:szCs w:val="28"/>
        </w:rPr>
        <w:tab/>
      </w:r>
      <w:r w:rsidR="00E27276">
        <w:rPr>
          <w:rFonts w:ascii="Times New Roman" w:hAnsi="Times New Roman"/>
          <w:b/>
          <w:bCs/>
          <w:sz w:val="28"/>
          <w:szCs w:val="28"/>
        </w:rPr>
        <w:tab/>
      </w:r>
      <w:r w:rsidR="00E27276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E27276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276" w:rsidRDefault="00E27276" w:rsidP="00E27276">
      <w:pPr>
        <w:pStyle w:val="1"/>
        <w:jc w:val="center"/>
        <w:rPr>
          <w:b/>
          <w:bCs/>
          <w:sz w:val="28"/>
          <w:szCs w:val="28"/>
        </w:rPr>
      </w:pPr>
    </w:p>
    <w:p w:rsidR="00E27276" w:rsidRDefault="00E27276" w:rsidP="00E27276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налога на имущество физических лиц на территории </w:t>
      </w:r>
      <w:r w:rsidRPr="00E27276">
        <w:rPr>
          <w:b/>
          <w:bCs/>
          <w:sz w:val="28"/>
          <w:szCs w:val="28"/>
        </w:rPr>
        <w:t>Остаповского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</w:p>
    <w:p w:rsidR="00E27276" w:rsidRDefault="00E27276" w:rsidP="00E2727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Настоящее Решение Совета Остаповского сельского поселения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принимается в соответствии с п. 1 ст. 399 Налогового кодекса Российской Федерации, ст. 14 Федерального закона от 06.10.2013 №131-ФЗ «Об общих принципах организации местного самоуправления в Российской Федерации»;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налоговые ставки, порядок и сроки уплаты, налоговые льготы в пределах, установленных 32 главой Налогового кодекса Российской Федерации.</w:t>
      </w: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территории </w:t>
      </w:r>
      <w:r w:rsidRPr="00E27276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поселения.</w:t>
      </w: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 налогообложения</w:t>
      </w:r>
    </w:p>
    <w:p w:rsidR="00E27276" w:rsidRDefault="00E27276" w:rsidP="00E2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Объектом налогообложения признается расположенное в пределах </w:t>
      </w:r>
      <w:r w:rsidRPr="00E27276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имущество, перечисленное в статье 401 Налогового кодекса Российской Федерации.</w:t>
      </w:r>
    </w:p>
    <w:p w:rsidR="00E27276" w:rsidRDefault="00E27276" w:rsidP="00E27276">
      <w:pPr>
        <w:ind w:firstLine="567"/>
        <w:jc w:val="both"/>
        <w:rPr>
          <w:b/>
          <w:sz w:val="28"/>
          <w:szCs w:val="28"/>
        </w:rPr>
      </w:pPr>
    </w:p>
    <w:p w:rsidR="00E27276" w:rsidRDefault="00E27276" w:rsidP="00E272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Налоговая база</w:t>
      </w:r>
    </w:p>
    <w:p w:rsidR="00E27276" w:rsidRDefault="00E27276" w:rsidP="00E2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E27276" w:rsidRDefault="00E27276" w:rsidP="00E2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база определяется в качестве объекта налогообложения в соответствии с п.3-6 ст. 403 главы 32 Налогового кодекса Российской Федерации.</w:t>
      </w:r>
    </w:p>
    <w:p w:rsidR="00E27276" w:rsidRDefault="00E27276" w:rsidP="00E2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применении налоговых вычетов, предусмотренных п. 3 - 6 ст. 403 главы 32 Налогового кодекса, налоговая база принимает отрицательное значение, в целях исчисления налога такая налоговая база принимается равной нулю.</w:t>
      </w:r>
    </w:p>
    <w:p w:rsidR="00E27276" w:rsidRDefault="00E27276" w:rsidP="00E27276">
      <w:pPr>
        <w:ind w:firstLine="567"/>
        <w:jc w:val="both"/>
        <w:rPr>
          <w:b/>
          <w:sz w:val="28"/>
          <w:szCs w:val="28"/>
        </w:rPr>
      </w:pPr>
    </w:p>
    <w:p w:rsidR="00E27276" w:rsidRDefault="00E27276" w:rsidP="00E272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Налоговая ставка</w:t>
      </w:r>
    </w:p>
    <w:p w:rsidR="00E27276" w:rsidRDefault="00E27276" w:rsidP="00E2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Налоговая ставка, исходя из кадастровой стоимости объекта налогообложения, устанавливается в следующих размерах:</w:t>
      </w:r>
    </w:p>
    <w:p w:rsidR="00E27276" w:rsidRDefault="00E27276" w:rsidP="00E27276">
      <w:pPr>
        <w:ind w:firstLine="567"/>
        <w:jc w:val="both"/>
        <w:rPr>
          <w:sz w:val="28"/>
          <w:szCs w:val="28"/>
        </w:rPr>
      </w:pPr>
    </w:p>
    <w:tbl>
      <w:tblPr>
        <w:tblW w:w="98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4642"/>
        <w:gridCol w:w="70"/>
      </w:tblGrid>
      <w:tr w:rsidR="00E27276" w:rsidTr="00E27276">
        <w:trPr>
          <w:trHeight w:val="242"/>
          <w:tblCellSpacing w:w="0" w:type="dxa"/>
          <w:jc w:val="center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jc w:val="center"/>
            </w:pPr>
            <w:r>
              <w:t>Кадастровая стоимость объектов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jc w:val="center"/>
            </w:pPr>
            <w:r>
              <w:t>Ставка налога</w:t>
            </w:r>
          </w:p>
        </w:tc>
      </w:tr>
      <w:tr w:rsidR="00E27276" w:rsidTr="00E27276">
        <w:trPr>
          <w:trHeight w:val="3978"/>
          <w:tblCellSpacing w:w="0" w:type="dxa"/>
          <w:jc w:val="center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> - жилых домов, жилых помещений;</w:t>
            </w:r>
          </w:p>
          <w:p w:rsidR="00E27276" w:rsidRDefault="00E27276">
            <w:pPr>
              <w:ind w:firstLine="720"/>
              <w:jc w:val="both"/>
            </w:pPr>
            <w: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E27276" w:rsidRDefault="00E27276">
            <w:pPr>
              <w:ind w:firstLine="720"/>
              <w:jc w:val="both"/>
            </w:pPr>
            <w:r>
              <w:t>- единых недвижимых комплексов, в состав которых входит хотя бы одно жилое помещение (жилой дом);</w:t>
            </w:r>
          </w:p>
          <w:p w:rsidR="00E27276" w:rsidRDefault="00E27276">
            <w:pPr>
              <w:ind w:firstLine="720"/>
              <w:jc w:val="both"/>
            </w:pPr>
            <w:r>
              <w:t xml:space="preserve">- гаражей и </w:t>
            </w:r>
            <w:proofErr w:type="spellStart"/>
            <w:r>
              <w:t>машино-мест</w:t>
            </w:r>
            <w:proofErr w:type="spellEnd"/>
            <w:r>
              <w:t>;</w:t>
            </w:r>
          </w:p>
          <w:p w:rsidR="00E27276" w:rsidRDefault="00E27276">
            <w:pPr>
              <w:ind w:firstLine="720"/>
              <w:jc w:val="both"/>
            </w:pPr>
            <w: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073070" w:rsidP="00073070">
            <w:pPr>
              <w:ind w:firstLine="720"/>
              <w:jc w:val="center"/>
            </w:pPr>
            <w:r w:rsidRPr="00073070">
              <w:rPr>
                <w:u w:val="single"/>
              </w:rPr>
              <w:t>0,1</w:t>
            </w:r>
            <w:r w:rsidR="00E27276">
              <w:t xml:space="preserve"> процента</w:t>
            </w:r>
          </w:p>
        </w:tc>
        <w:tc>
          <w:tcPr>
            <w:tcW w:w="70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E27276" w:rsidRDefault="00E27276">
            <w:pPr>
              <w:ind w:firstLine="720"/>
              <w:jc w:val="both"/>
            </w:pPr>
            <w:r>
              <w:t> </w:t>
            </w:r>
          </w:p>
        </w:tc>
      </w:tr>
      <w:tr w:rsidR="00E27276" w:rsidTr="00E27276">
        <w:trPr>
          <w:trHeight w:val="242"/>
          <w:tblCellSpacing w:w="0" w:type="dxa"/>
          <w:jc w:val="center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 xml:space="preserve">Свыше 300 000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073070">
            <w:pPr>
              <w:ind w:firstLine="720"/>
              <w:jc w:val="center"/>
            </w:pPr>
            <w:r>
              <w:t xml:space="preserve"> </w:t>
            </w:r>
            <w:r w:rsidRPr="00073070">
              <w:rPr>
                <w:u w:val="single"/>
              </w:rPr>
              <w:t>2</w:t>
            </w:r>
            <w:r w:rsidR="00E27276">
              <w:t xml:space="preserve"> процента</w:t>
            </w:r>
          </w:p>
        </w:tc>
      </w:tr>
      <w:tr w:rsidR="00E27276" w:rsidTr="00E27276">
        <w:trPr>
          <w:trHeight w:val="472"/>
          <w:tblCellSpacing w:w="0" w:type="dxa"/>
          <w:jc w:val="center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>в отношении прочих объектов налогообложения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073070">
            <w:pPr>
              <w:ind w:firstLine="720"/>
              <w:jc w:val="center"/>
            </w:pPr>
            <w:r w:rsidRPr="00073070">
              <w:rPr>
                <w:u w:val="single"/>
              </w:rPr>
              <w:t>0,5</w:t>
            </w:r>
            <w:r w:rsidR="00E27276">
              <w:t xml:space="preserve"> процента</w:t>
            </w:r>
          </w:p>
        </w:tc>
      </w:tr>
    </w:tbl>
    <w:p w:rsidR="00E27276" w:rsidRDefault="00E27276" w:rsidP="00E27276">
      <w:pPr>
        <w:ind w:firstLine="720"/>
        <w:jc w:val="both"/>
        <w:rPr>
          <w:sz w:val="28"/>
          <w:szCs w:val="28"/>
        </w:rPr>
      </w:pPr>
    </w:p>
    <w:p w:rsidR="00E27276" w:rsidRDefault="00E27276" w:rsidP="00E2727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Налоговые льготы</w:t>
      </w:r>
    </w:p>
    <w:p w:rsidR="00E27276" w:rsidRDefault="00E27276" w:rsidP="00E27276">
      <w:pPr>
        <w:numPr>
          <w:ilvl w:val="0"/>
          <w:numId w:val="1"/>
        </w:numPr>
        <w:ind w:left="0" w:right="-5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Остаповского сельского поселения, льготы, установленные в соответствии со статьей 407 Налогового кодекса Российской Федерации, действуют в полном объеме.</w:t>
      </w:r>
    </w:p>
    <w:p w:rsidR="00E27276" w:rsidRDefault="00E27276" w:rsidP="00E27276">
      <w:pPr>
        <w:ind w:left="720" w:right="-511"/>
        <w:jc w:val="both"/>
        <w:rPr>
          <w:b/>
          <w:sz w:val="28"/>
          <w:szCs w:val="28"/>
        </w:rPr>
      </w:pPr>
    </w:p>
    <w:p w:rsidR="00E27276" w:rsidRDefault="00E27276" w:rsidP="00E27276">
      <w:pPr>
        <w:ind w:left="720" w:right="-5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Порядок и сроки уплаты налога</w:t>
      </w:r>
    </w:p>
    <w:p w:rsidR="00E27276" w:rsidRDefault="00E27276" w:rsidP="00E2727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уплаты в соответствии со ст. 409 Налогового кодекса Российской Федерации.</w:t>
      </w:r>
    </w:p>
    <w:p w:rsidR="00E27276" w:rsidRDefault="00E27276" w:rsidP="00E27276">
      <w:pPr>
        <w:ind w:left="1080" w:hanging="371"/>
        <w:jc w:val="both"/>
        <w:rPr>
          <w:b/>
          <w:sz w:val="28"/>
          <w:szCs w:val="28"/>
        </w:rPr>
      </w:pPr>
    </w:p>
    <w:p w:rsidR="00E27276" w:rsidRDefault="00E27276" w:rsidP="00E27276">
      <w:pPr>
        <w:ind w:left="1080" w:hanging="3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Заключительное положение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Совета Остаповского сельского поселения от </w:t>
      </w:r>
      <w:r>
        <w:rPr>
          <w:sz w:val="28"/>
          <w:szCs w:val="28"/>
          <w:u w:val="single"/>
        </w:rPr>
        <w:tab/>
      </w:r>
      <w:r w:rsidR="00073070">
        <w:rPr>
          <w:sz w:val="28"/>
          <w:szCs w:val="28"/>
          <w:u w:val="single"/>
        </w:rPr>
        <w:t>26.11.</w:t>
      </w:r>
      <w:r w:rsidRPr="00073070">
        <w:rPr>
          <w:sz w:val="28"/>
          <w:szCs w:val="28"/>
          <w:u w:val="single"/>
        </w:rPr>
        <w:t>2013г</w:t>
      </w:r>
      <w:r>
        <w:rPr>
          <w:sz w:val="28"/>
          <w:szCs w:val="28"/>
        </w:rPr>
        <w:t>. №</w:t>
      </w:r>
      <w:r w:rsidR="00073070" w:rsidRPr="00073070"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 «Об установлении налога на имущество физических лиц» считать недействительным с 01.01.2015 года. </w:t>
      </w:r>
    </w:p>
    <w:p w:rsidR="00E27276" w:rsidRDefault="00E27276" w:rsidP="00E27276">
      <w:pPr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опубликовать в «Вестнике Остаповского сельского поселения» и разместить на официальном сайте Остаповского сельского поселения.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</w:p>
    <w:p w:rsidR="00E27276" w:rsidRDefault="00E27276" w:rsidP="00E27276">
      <w:pPr>
        <w:ind w:firstLine="720"/>
        <w:jc w:val="both"/>
        <w:rPr>
          <w:sz w:val="28"/>
          <w:szCs w:val="28"/>
        </w:rPr>
      </w:pPr>
    </w:p>
    <w:p w:rsidR="00476C8C" w:rsidRDefault="00E27276" w:rsidP="00E2727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 Остаповского сельского поселения</w:t>
      </w:r>
      <w:r w:rsidR="003242C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      </w:t>
      </w:r>
    </w:p>
    <w:p w:rsidR="003242C1" w:rsidRDefault="00476C8C" w:rsidP="00E2727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Остаповского</w:t>
      </w:r>
    </w:p>
    <w:p w:rsidR="000C6190" w:rsidRDefault="00476C8C" w:rsidP="00E27276">
      <w:pPr>
        <w:tabs>
          <w:tab w:val="left" w:pos="900"/>
        </w:tabs>
      </w:pPr>
      <w:r>
        <w:rPr>
          <w:sz w:val="28"/>
          <w:szCs w:val="28"/>
        </w:rPr>
        <w:t>сельского пос</w:t>
      </w:r>
      <w:r w:rsidR="003242C1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3242C1">
        <w:rPr>
          <w:sz w:val="28"/>
          <w:szCs w:val="28"/>
        </w:rPr>
        <w:t xml:space="preserve">                                                                С.Ю. </w:t>
      </w:r>
      <w:proofErr w:type="spellStart"/>
      <w:r w:rsidR="003242C1">
        <w:rPr>
          <w:sz w:val="28"/>
          <w:szCs w:val="28"/>
        </w:rPr>
        <w:t>Бражникова</w:t>
      </w:r>
      <w:proofErr w:type="spellEnd"/>
      <w:r w:rsidR="003242C1">
        <w:rPr>
          <w:sz w:val="28"/>
          <w:szCs w:val="28"/>
        </w:rPr>
        <w:t xml:space="preserve">                                                                  </w:t>
      </w:r>
    </w:p>
    <w:sectPr w:rsidR="000C6190" w:rsidSect="007A1A1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91"/>
    <w:multiLevelType w:val="hybridMultilevel"/>
    <w:tmpl w:val="860056C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9672C"/>
    <w:multiLevelType w:val="hybridMultilevel"/>
    <w:tmpl w:val="C4244592"/>
    <w:lvl w:ilvl="0" w:tplc="17F0C7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76"/>
    <w:rsid w:val="00015814"/>
    <w:rsid w:val="00073070"/>
    <w:rsid w:val="000C6190"/>
    <w:rsid w:val="003242C1"/>
    <w:rsid w:val="003D326B"/>
    <w:rsid w:val="00455845"/>
    <w:rsid w:val="00476C8C"/>
    <w:rsid w:val="00705F89"/>
    <w:rsid w:val="00757486"/>
    <w:rsid w:val="007A1A1C"/>
    <w:rsid w:val="008547EC"/>
    <w:rsid w:val="00DD44A4"/>
    <w:rsid w:val="00E2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727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727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2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27276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13</cp:revision>
  <cp:lastPrinted>2014-11-12T10:26:00Z</cp:lastPrinted>
  <dcterms:created xsi:type="dcterms:W3CDTF">2014-11-11T06:39:00Z</dcterms:created>
  <dcterms:modified xsi:type="dcterms:W3CDTF">2014-11-12T10:28:00Z</dcterms:modified>
</cp:coreProperties>
</file>